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CF" w:rsidRDefault="009831CF" w:rsidP="009831CF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1C177C" w:rsidRDefault="009831CF" w:rsidP="009831C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1C177C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монтажные и пуско-наладочные работы электростанции в контейнере АД-100-2РБК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67B4C" w:rsidRPr="006B5C03" w:rsidRDefault="00C67B4C" w:rsidP="005F506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7776">
        <w:rPr>
          <w:rFonts w:ascii="Arial" w:hAnsi="Arial" w:cs="Arial"/>
          <w:b/>
          <w:color w:val="365F91" w:themeColor="accent1" w:themeShade="BF"/>
          <w:sz w:val="28"/>
          <w:szCs w:val="28"/>
        </w:rPr>
        <w:t>Техническое задание</w:t>
      </w:r>
      <w:r w:rsidR="005F5065" w:rsidRPr="0009777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hyperlink r:id="rId9" w:history="1">
        <w:r w:rsidR="005F5065" w:rsidRPr="006B5C03">
          <w:rPr>
            <w:rStyle w:val="a3"/>
            <w:rFonts w:ascii="Arial" w:hAnsi="Arial" w:cs="Arial"/>
            <w:b/>
            <w:sz w:val="28"/>
            <w:szCs w:val="28"/>
          </w:rPr>
          <w:t>н</w:t>
        </w:r>
        <w:r w:rsidRPr="006B5C03">
          <w:rPr>
            <w:rStyle w:val="a3"/>
            <w:rFonts w:ascii="Arial" w:hAnsi="Arial" w:cs="Arial"/>
            <w:b/>
            <w:sz w:val="28"/>
            <w:szCs w:val="28"/>
          </w:rPr>
          <w:t>а проектирование</w:t>
        </w:r>
      </w:hyperlink>
      <w:r w:rsidR="006B5C03" w:rsidRPr="006B5C03">
        <w:rPr>
          <w:rStyle w:val="a3"/>
          <w:rFonts w:ascii="Arial" w:hAnsi="Arial" w:cs="Arial"/>
          <w:color w:val="auto"/>
          <w:sz w:val="28"/>
          <w:szCs w:val="28"/>
          <w:u w:val="none"/>
        </w:rPr>
        <w:t>,</w:t>
      </w:r>
      <w:r w:rsidR="006B5C03" w:rsidRPr="006B5C03">
        <w:rPr>
          <w:rStyle w:val="a3"/>
          <w:rFonts w:ascii="Arial" w:hAnsi="Arial" w:cs="Arial"/>
          <w:b/>
          <w:color w:val="auto"/>
          <w:sz w:val="28"/>
          <w:szCs w:val="28"/>
          <w:u w:val="none"/>
        </w:rPr>
        <w:t xml:space="preserve">  </w:t>
      </w:r>
      <w:hyperlink r:id="rId10" w:history="1">
        <w:r w:rsidRPr="006B5C03">
          <w:rPr>
            <w:rStyle w:val="a3"/>
            <w:rFonts w:ascii="Arial" w:hAnsi="Arial" w:cs="Arial"/>
            <w:b/>
            <w:sz w:val="28"/>
            <w:szCs w:val="28"/>
          </w:rPr>
          <w:t xml:space="preserve">монтаж и ПНР </w:t>
        </w:r>
        <w:r w:rsidR="006B5C03" w:rsidRPr="006B5C03">
          <w:rPr>
            <w:rStyle w:val="a3"/>
            <w:rFonts w:ascii="Arial" w:hAnsi="Arial" w:cs="Arial"/>
            <w:b/>
            <w:sz w:val="28"/>
            <w:szCs w:val="28"/>
          </w:rPr>
          <w:t xml:space="preserve"> </w:t>
        </w:r>
        <w:proofErr w:type="gramStart"/>
        <w:r w:rsidR="006B5C03" w:rsidRPr="006B5C03">
          <w:rPr>
            <w:rStyle w:val="a3"/>
            <w:rFonts w:ascii="Arial" w:hAnsi="Arial" w:cs="Arial"/>
            <w:b/>
            <w:sz w:val="28"/>
            <w:szCs w:val="28"/>
          </w:rPr>
          <w:t>дизель-генераторов</w:t>
        </w:r>
        <w:proofErr w:type="gramEnd"/>
      </w:hyperlink>
    </w:p>
    <w:p w:rsidR="00C67B4C" w:rsidRPr="00097776" w:rsidRDefault="00C67B4C" w:rsidP="005F5065">
      <w:pPr>
        <w:spacing w:after="0"/>
        <w:jc w:val="center"/>
        <w:rPr>
          <w:rFonts w:ascii="Arial" w:hAnsi="Arial" w:cs="Arial"/>
        </w:rPr>
      </w:pPr>
    </w:p>
    <w:p w:rsidR="00C67B4C" w:rsidRPr="00097776" w:rsidRDefault="00097776" w:rsidP="005F50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7B4C" w:rsidRPr="00097776">
        <w:rPr>
          <w:rFonts w:ascii="Arial" w:hAnsi="Arial" w:cs="Arial"/>
        </w:rPr>
        <w:t>Включение по постоянной схеме с возмо</w:t>
      </w:r>
      <w:r w:rsidR="005F5065" w:rsidRPr="00097776">
        <w:rPr>
          <w:rFonts w:ascii="Arial" w:hAnsi="Arial" w:cs="Arial"/>
        </w:rPr>
        <w:t>жностью автоматического запуска</w:t>
      </w:r>
      <w:r w:rsidR="00C67B4C" w:rsidRPr="00097776">
        <w:rPr>
          <w:rFonts w:ascii="Arial" w:hAnsi="Arial" w:cs="Arial"/>
        </w:rPr>
        <w:t xml:space="preserve"> при отклю</w:t>
      </w:r>
      <w:r w:rsidR="005F5065" w:rsidRPr="00097776">
        <w:rPr>
          <w:rFonts w:ascii="Arial" w:hAnsi="Arial" w:cs="Arial"/>
        </w:rPr>
        <w:t>чении внешнего электроснабжения</w:t>
      </w:r>
      <w:r w:rsidR="00C67B4C" w:rsidRPr="00097776">
        <w:rPr>
          <w:rFonts w:ascii="Arial" w:hAnsi="Arial" w:cs="Arial"/>
        </w:rPr>
        <w:t xml:space="preserve"> </w:t>
      </w:r>
      <w:hyperlink r:id="rId11" w:history="1">
        <w:r w:rsidR="00C67B4C" w:rsidRPr="006B5C03">
          <w:rPr>
            <w:rStyle w:val="a3"/>
            <w:rFonts w:ascii="Arial" w:hAnsi="Arial" w:cs="Arial"/>
          </w:rPr>
          <w:t xml:space="preserve">дизель-электрической установки мощностью </w:t>
        </w:r>
        <w:r w:rsidR="00C67B4C" w:rsidRPr="006B5C03">
          <w:rPr>
            <w:rStyle w:val="a3"/>
            <w:rFonts w:ascii="Arial" w:hAnsi="Arial" w:cs="Arial"/>
            <w:b/>
          </w:rPr>
          <w:t>100 кВт</w:t>
        </w:r>
        <w:r w:rsidR="00C67B4C" w:rsidRPr="006B5C03">
          <w:rPr>
            <w:rStyle w:val="a3"/>
            <w:rFonts w:ascii="Arial" w:hAnsi="Arial" w:cs="Arial"/>
          </w:rPr>
          <w:t xml:space="preserve"> </w:t>
        </w:r>
        <w:r w:rsidR="006B5C03" w:rsidRPr="006B5C03">
          <w:rPr>
            <w:rStyle w:val="a3"/>
            <w:rFonts w:ascii="Arial" w:hAnsi="Arial" w:cs="Arial"/>
          </w:rPr>
          <w:t xml:space="preserve"> </w:t>
        </w:r>
      </w:hyperlink>
      <w:r w:rsidR="006B5C03">
        <w:rPr>
          <w:rFonts w:ascii="Arial" w:hAnsi="Arial" w:cs="Arial"/>
        </w:rPr>
        <w:t xml:space="preserve"> </w:t>
      </w:r>
      <w:r w:rsidR="00C67B4C" w:rsidRPr="00097776">
        <w:rPr>
          <w:rFonts w:ascii="Arial" w:hAnsi="Arial" w:cs="Arial"/>
        </w:rPr>
        <w:t xml:space="preserve">контейнерного исполнения </w:t>
      </w:r>
      <w:hyperlink r:id="rId12" w:history="1">
        <w:r w:rsidR="006B5C03">
          <w:rPr>
            <w:rStyle w:val="a3"/>
            <w:rFonts w:ascii="Arial" w:hAnsi="Arial" w:cs="Arial"/>
          </w:rPr>
          <w:t xml:space="preserve">АД </w:t>
        </w:r>
        <w:bookmarkStart w:id="0" w:name="_GoBack"/>
        <w:bookmarkEnd w:id="0"/>
        <w:r w:rsidR="00C67B4C" w:rsidRPr="006B5C03">
          <w:rPr>
            <w:rStyle w:val="a3"/>
            <w:rFonts w:ascii="Arial" w:hAnsi="Arial" w:cs="Arial"/>
          </w:rPr>
          <w:t>100-Т/400-2РБК</w:t>
        </w:r>
      </w:hyperlink>
      <w:r w:rsidR="00C67B4C" w:rsidRPr="00097776">
        <w:rPr>
          <w:rFonts w:ascii="Arial" w:hAnsi="Arial" w:cs="Arial"/>
        </w:rPr>
        <w:t xml:space="preserve"> резервного электроснабжения объектов с технологическим оборудованием ___________________________________, расположенных по адресу: ________________________________________________________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Указанные мероприятия связаны с необходимостью обеспечения бесперебойного функционирования оборудования при исчезновении питания по основным фидерным линиям.</w:t>
      </w:r>
    </w:p>
    <w:p w:rsidR="005F5065" w:rsidRPr="00097776" w:rsidRDefault="005F5065" w:rsidP="005F5065">
      <w:pPr>
        <w:spacing w:after="0"/>
        <w:rPr>
          <w:rFonts w:ascii="Arial" w:hAnsi="Arial" w:cs="Arial"/>
        </w:rPr>
      </w:pPr>
    </w:p>
    <w:p w:rsidR="00C67B4C" w:rsidRPr="00097776" w:rsidRDefault="005F5065" w:rsidP="005F5065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097776">
        <w:rPr>
          <w:rFonts w:ascii="Arial" w:hAnsi="Arial" w:cs="Arial"/>
          <w:b/>
          <w:color w:val="365F91" w:themeColor="accent1" w:themeShade="BF"/>
        </w:rPr>
        <w:t xml:space="preserve">1. </w:t>
      </w:r>
      <w:r w:rsidR="00C67B4C" w:rsidRPr="00097776">
        <w:rPr>
          <w:rFonts w:ascii="Arial" w:hAnsi="Arial" w:cs="Arial"/>
          <w:b/>
          <w:color w:val="365F91" w:themeColor="accent1" w:themeShade="BF"/>
        </w:rPr>
        <w:t>Работы по проектированию.</w:t>
      </w:r>
    </w:p>
    <w:p w:rsidR="005F5065" w:rsidRPr="00097776" w:rsidRDefault="005F5065" w:rsidP="005F5065">
      <w:pPr>
        <w:pStyle w:val="a4"/>
        <w:spacing w:after="0"/>
        <w:ind w:left="0"/>
        <w:rPr>
          <w:rFonts w:ascii="Arial" w:hAnsi="Arial" w:cs="Arial"/>
          <w:b/>
        </w:rPr>
      </w:pP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1.1. Предварительное обследование объекта. Результатом обследования является разработка рабочего проекта.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1.2. Утверждение проекта у Заказчика.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1.3. Формирование пакета документов для получения разрешения ОАО «РЭС» г. Новосибирска на установку резервных источников питания.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 xml:space="preserve">1.4. Получение разрешения </w:t>
      </w:r>
      <w:r w:rsidRPr="00097776">
        <w:rPr>
          <w:rFonts w:ascii="Arial" w:hAnsi="Arial" w:cs="Arial"/>
          <w:b/>
        </w:rPr>
        <w:t>ОАО «РЭС» г. Новосибирска</w:t>
      </w:r>
      <w:r w:rsidRPr="00097776">
        <w:rPr>
          <w:rFonts w:ascii="Arial" w:hAnsi="Arial" w:cs="Arial"/>
        </w:rPr>
        <w:t xml:space="preserve"> на установку резервных источников питания.</w:t>
      </w:r>
    </w:p>
    <w:p w:rsidR="005F5065" w:rsidRPr="00097776" w:rsidRDefault="005F5065" w:rsidP="005F5065">
      <w:pPr>
        <w:spacing w:after="0"/>
        <w:rPr>
          <w:rFonts w:ascii="Arial" w:hAnsi="Arial" w:cs="Arial"/>
        </w:rPr>
      </w:pPr>
    </w:p>
    <w:p w:rsidR="00C67B4C" w:rsidRPr="00097776" w:rsidRDefault="005F5065" w:rsidP="005F5065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097776">
        <w:rPr>
          <w:rFonts w:ascii="Arial" w:hAnsi="Arial" w:cs="Arial"/>
          <w:b/>
          <w:color w:val="365F91" w:themeColor="accent1" w:themeShade="BF"/>
        </w:rPr>
        <w:t xml:space="preserve">2. </w:t>
      </w:r>
      <w:r w:rsidR="00C67B4C" w:rsidRPr="00097776">
        <w:rPr>
          <w:rFonts w:ascii="Arial" w:hAnsi="Arial" w:cs="Arial"/>
          <w:b/>
          <w:color w:val="365F91" w:themeColor="accent1" w:themeShade="BF"/>
        </w:rPr>
        <w:t>Требования к устройству автоматического ввода резерва (АВР).</w:t>
      </w:r>
    </w:p>
    <w:p w:rsidR="005F5065" w:rsidRPr="00097776" w:rsidRDefault="005F5065" w:rsidP="005F5065">
      <w:pPr>
        <w:spacing w:after="0"/>
        <w:rPr>
          <w:rFonts w:ascii="Arial" w:hAnsi="Arial" w:cs="Arial"/>
        </w:rPr>
      </w:pP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 xml:space="preserve">2.1. Устройство должно предусматривать возможность питания </w:t>
      </w:r>
      <w:proofErr w:type="spellStart"/>
      <w:r w:rsidRPr="00097776">
        <w:rPr>
          <w:rFonts w:ascii="Arial" w:hAnsi="Arial" w:cs="Arial"/>
        </w:rPr>
        <w:t>электроприемников</w:t>
      </w:r>
      <w:proofErr w:type="spellEnd"/>
      <w:r w:rsidRPr="00097776">
        <w:rPr>
          <w:rFonts w:ascii="Arial" w:hAnsi="Arial" w:cs="Arial"/>
        </w:rPr>
        <w:t xml:space="preserve"> от двух источников (промышленная сеть, дизель-электрическая установка (ДЭУ)).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2.2. Устройство должно автоматически переключать нагрузку с сети на ДЭУ в случае пропадания напряжения сети и осуществлять обратный переход при появлении напряжения требуемого качества в сети.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2.3. Устройство должно пропускать мощность не менее 100 кВт.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2.4. Предусмотреть в помещении дежурного автономный щиток световой и звуковой сигнализации состояния АВР, сигнализации со шкафа управления (удаленный проводной мониторинг).</w:t>
      </w:r>
    </w:p>
    <w:p w:rsidR="005F5065" w:rsidRPr="00097776" w:rsidRDefault="005F5065" w:rsidP="005F5065">
      <w:pPr>
        <w:spacing w:after="0"/>
        <w:rPr>
          <w:rFonts w:ascii="Arial" w:hAnsi="Arial" w:cs="Arial"/>
        </w:rPr>
      </w:pPr>
    </w:p>
    <w:p w:rsidR="00C67B4C" w:rsidRPr="00097776" w:rsidRDefault="005F5065" w:rsidP="005F5065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097776">
        <w:rPr>
          <w:rFonts w:ascii="Arial" w:hAnsi="Arial" w:cs="Arial"/>
          <w:b/>
          <w:color w:val="365F91" w:themeColor="accent1" w:themeShade="BF"/>
        </w:rPr>
        <w:t xml:space="preserve">3. </w:t>
      </w:r>
      <w:r w:rsidR="00C67B4C" w:rsidRPr="00097776">
        <w:rPr>
          <w:rFonts w:ascii="Arial" w:hAnsi="Arial" w:cs="Arial"/>
          <w:b/>
          <w:color w:val="365F91" w:themeColor="accent1" w:themeShade="BF"/>
        </w:rPr>
        <w:t>Характеристики дизель-электрической установки.</w:t>
      </w:r>
    </w:p>
    <w:p w:rsidR="005F5065" w:rsidRPr="00097776" w:rsidRDefault="005F5065" w:rsidP="005F5065">
      <w:pPr>
        <w:spacing w:after="0"/>
        <w:rPr>
          <w:rFonts w:ascii="Arial" w:hAnsi="Arial" w:cs="Arial"/>
        </w:rPr>
      </w:pP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3.1. ДЭУ с мощностью 100 кВт контейнерного исполнения АД-100-Т/400-2РБК.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3.2. Габаритные размеры, мм, не более: длина - 3800, ширина - 2400, высота - 2400.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3.3. Масса сухая, кг, - не более 4350.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3.4. ДЭУ обеспечивает ручной, автоматический и удаленный запуск и остановки двигателя.</w:t>
      </w:r>
    </w:p>
    <w:p w:rsidR="005F5065" w:rsidRPr="00097776" w:rsidRDefault="005F5065" w:rsidP="005F5065">
      <w:pPr>
        <w:spacing w:after="0"/>
        <w:rPr>
          <w:rFonts w:ascii="Arial" w:hAnsi="Arial" w:cs="Arial"/>
        </w:rPr>
      </w:pPr>
    </w:p>
    <w:p w:rsidR="00C67B4C" w:rsidRPr="00097776" w:rsidRDefault="005F5065" w:rsidP="005F5065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097776">
        <w:rPr>
          <w:rFonts w:ascii="Arial" w:hAnsi="Arial" w:cs="Arial"/>
          <w:b/>
          <w:color w:val="365F91" w:themeColor="accent1" w:themeShade="BF"/>
        </w:rPr>
        <w:t xml:space="preserve">4. </w:t>
      </w:r>
      <w:r w:rsidR="00C67B4C" w:rsidRPr="00097776">
        <w:rPr>
          <w:rFonts w:ascii="Arial" w:hAnsi="Arial" w:cs="Arial"/>
          <w:b/>
          <w:color w:val="365F91" w:themeColor="accent1" w:themeShade="BF"/>
        </w:rPr>
        <w:t>Требования к монтажу.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ДЭУ поставляет Заказчик.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4.1. Монтаж оборудования должен быть осуществлен в соответствии с проектной документацией.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 xml:space="preserve">4.2. Прокладка кабеля от </w:t>
      </w:r>
      <w:proofErr w:type="spellStart"/>
      <w:r w:rsidRPr="00097776">
        <w:rPr>
          <w:rFonts w:ascii="Arial" w:hAnsi="Arial" w:cs="Arial"/>
        </w:rPr>
        <w:t>электрощитовой</w:t>
      </w:r>
      <w:proofErr w:type="spellEnd"/>
      <w:r w:rsidRPr="00097776">
        <w:rPr>
          <w:rFonts w:ascii="Arial" w:hAnsi="Arial" w:cs="Arial"/>
        </w:rPr>
        <w:t xml:space="preserve"> до ДЭУ должна быть выполнена с использованием крепежа и такелажа, обеспечивающего надежное крепление по всей длине (кабель _______, марка по проекту).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 xml:space="preserve">4.3. Устанавливаемое оборудование, кроме поставляемого Заказчиком, должно отвечать установленным требованиям </w:t>
      </w:r>
      <w:proofErr w:type="spellStart"/>
      <w:r w:rsidRPr="00097776">
        <w:rPr>
          <w:rFonts w:ascii="Arial" w:hAnsi="Arial" w:cs="Arial"/>
        </w:rPr>
        <w:t>элетробезопасности</w:t>
      </w:r>
      <w:proofErr w:type="spellEnd"/>
      <w:r w:rsidRPr="00097776">
        <w:rPr>
          <w:rFonts w:ascii="Arial" w:hAnsi="Arial" w:cs="Arial"/>
        </w:rPr>
        <w:t>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 xml:space="preserve">4.4. В постоянном режиме работы в качестве резервного источника питания ДЭУ должна обеспечивать непрерывную работу </w:t>
      </w:r>
      <w:r w:rsidRPr="00097776">
        <w:rPr>
          <w:rFonts w:ascii="Arial" w:hAnsi="Arial" w:cs="Arial"/>
          <w:b/>
        </w:rPr>
        <w:t>24 часа в сутки</w:t>
      </w:r>
      <w:r w:rsidRPr="00097776">
        <w:rPr>
          <w:rFonts w:ascii="Arial" w:hAnsi="Arial" w:cs="Arial"/>
        </w:rPr>
        <w:t>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4.5. Пуско-наладка оборудования должна осуществляться в соответствии с технической документацией на данное оборудование.</w:t>
      </w:r>
    </w:p>
    <w:p w:rsidR="00C67B4C" w:rsidRPr="00097776" w:rsidRDefault="00C67B4C" w:rsidP="005F5065">
      <w:pPr>
        <w:spacing w:after="0"/>
        <w:rPr>
          <w:rFonts w:ascii="Arial" w:hAnsi="Arial" w:cs="Arial"/>
        </w:rPr>
      </w:pPr>
      <w:r w:rsidRPr="00097776">
        <w:rPr>
          <w:rFonts w:ascii="Arial" w:hAnsi="Arial" w:cs="Arial"/>
        </w:rPr>
        <w:t>4.6. Ход приемо-сдаточных испытаний Заказчик и Исполнитель совместно документируют в Протоколе проведения испытаний.</w:t>
      </w:r>
    </w:p>
    <w:p w:rsidR="00030C7C" w:rsidRPr="00606B6F" w:rsidRDefault="00030C7C" w:rsidP="005F50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B6F" w:rsidRPr="00606B6F" w:rsidRDefault="00606B6F" w:rsidP="005F5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483" cy="1571625"/>
            <wp:effectExtent l="19050" t="0" r="67" b="0"/>
            <wp:docPr id="47" name="Рисунок 4" descr="P905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5006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437" cy="15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5738" cy="1558874"/>
            <wp:effectExtent l="19050" t="0" r="7862" b="0"/>
            <wp:docPr id="51" name="Рисунок 7" descr="CIMG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64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692" cy="156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142" cy="1568713"/>
            <wp:effectExtent l="19050" t="0" r="0" b="0"/>
            <wp:docPr id="50" name="Рисунок 5" descr="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300-1Рбк, ООО Вира-строй, Новосибирск, Петухова 93_3, июль 20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67" cy="15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776" w:rsidRPr="00FF0C0D" w:rsidRDefault="00097776" w:rsidP="000977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192405</wp:posOffset>
            </wp:positionV>
            <wp:extent cx="5715000" cy="1447800"/>
            <wp:effectExtent l="19050" t="0" r="0" b="0"/>
            <wp:wrapNone/>
            <wp:docPr id="4" name="Рисунок 3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776" w:rsidRPr="00CF14A0" w:rsidRDefault="00097776" w:rsidP="000977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097776">
      <w:pPr>
        <w:jc w:val="center"/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71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097776" w:rsidRDefault="0009777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9777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E280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.75pt;margin-top:.45pt;width:512.25pt;height:0;z-index:251664384" o:connectortype="straight" strokecolor="#365f91 [2404]" strokeweight="2pt">
            <v:stroke dashstyle="dash"/>
          </v:shape>
        </w:pict>
      </w:r>
    </w:p>
    <w:p w:rsidR="00097776" w:rsidRPr="00D57C2E" w:rsidRDefault="00097776" w:rsidP="0009777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097776" w:rsidRPr="00952F0F" w:rsidRDefault="00097776" w:rsidP="0009777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097776" w:rsidRPr="00403401" w:rsidRDefault="00097776" w:rsidP="0009777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097776" w:rsidRPr="00D57C2E" w:rsidRDefault="00097776" w:rsidP="0009777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097776" w:rsidRPr="00D57C2E" w:rsidRDefault="00097776" w:rsidP="0009777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097776" w:rsidRPr="00403401" w:rsidRDefault="00097776" w:rsidP="0009777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097776" w:rsidRPr="001A371B" w:rsidRDefault="00097776" w:rsidP="00097776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097776" w:rsidRPr="001A371B" w:rsidRDefault="00097776" w:rsidP="00097776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097776" w:rsidRDefault="00097776" w:rsidP="00097776">
      <w:pPr>
        <w:jc w:val="both"/>
        <w:rPr>
          <w:rFonts w:ascii="Arial" w:hAnsi="Arial" w:cs="Arial"/>
          <w:sz w:val="28"/>
          <w:szCs w:val="28"/>
        </w:rPr>
      </w:pPr>
    </w:p>
    <w:p w:rsidR="00097776" w:rsidRPr="00403401" w:rsidRDefault="00097776" w:rsidP="0009777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097776" w:rsidRPr="0094508F" w:rsidRDefault="00097776" w:rsidP="0009777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097776" w:rsidRPr="00DE0F56" w:rsidRDefault="00097776" w:rsidP="006B5C03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097776" w:rsidRPr="00403401" w:rsidRDefault="00097776" w:rsidP="0009777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097776" w:rsidRPr="001A371B" w:rsidRDefault="00097776" w:rsidP="00097776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097776" w:rsidRPr="00403401" w:rsidRDefault="00097776" w:rsidP="0009777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097776" w:rsidRPr="001A371B" w:rsidRDefault="00097776" w:rsidP="00097776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097776" w:rsidRDefault="00097776" w:rsidP="00097776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097776" w:rsidRPr="001A371B" w:rsidRDefault="00097776" w:rsidP="00097776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097776" w:rsidRPr="001A371B" w:rsidRDefault="00097776" w:rsidP="00097776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097776" w:rsidRDefault="0009777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776" w:rsidRDefault="000E280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6" type="#_x0000_t32" style="position:absolute;left:0;text-align:left;margin-left:1.5pt;margin-top:1.55pt;width:512.25pt;height:0;z-index:251663360" o:connectortype="straight" strokecolor="#365f91 [2404]" strokeweight="2pt">
            <v:stroke dashstyle="dash"/>
          </v:shape>
        </w:pict>
      </w:r>
    </w:p>
    <w:p w:rsidR="00097776" w:rsidRPr="00C67B4C" w:rsidRDefault="0009777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97776" w:rsidRPr="00C67B4C" w:rsidSect="00097776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7C" w:rsidRDefault="00BF347C" w:rsidP="00097776">
      <w:pPr>
        <w:spacing w:after="0" w:line="240" w:lineRule="auto"/>
      </w:pPr>
      <w:r>
        <w:separator/>
      </w:r>
    </w:p>
  </w:endnote>
  <w:endnote w:type="continuationSeparator" w:id="0">
    <w:p w:rsidR="00BF347C" w:rsidRDefault="00BF347C" w:rsidP="0009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76" w:rsidRPr="00FE7248" w:rsidRDefault="00097776" w:rsidP="00097776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97776" w:rsidRPr="00AC5FA9" w:rsidTr="00F93D84">
      <w:tc>
        <w:tcPr>
          <w:tcW w:w="4679" w:type="dxa"/>
        </w:tcPr>
        <w:p w:rsidR="00097776" w:rsidRPr="00AC5FA9" w:rsidRDefault="00097776" w:rsidP="00097776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97776" w:rsidRPr="00AC5FA9" w:rsidRDefault="00097776" w:rsidP="00097776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97776" w:rsidRPr="00AC5FA9" w:rsidTr="00F93D84">
      <w:tc>
        <w:tcPr>
          <w:tcW w:w="4679" w:type="dxa"/>
        </w:tcPr>
        <w:p w:rsidR="00097776" w:rsidRPr="00AC5FA9" w:rsidRDefault="00097776" w:rsidP="00097776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97776" w:rsidRPr="00AC5FA9" w:rsidRDefault="00097776" w:rsidP="00097776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97776" w:rsidRDefault="000977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7C" w:rsidRDefault="00BF347C" w:rsidP="00097776">
      <w:pPr>
        <w:spacing w:after="0" w:line="240" w:lineRule="auto"/>
      </w:pPr>
      <w:r>
        <w:separator/>
      </w:r>
    </w:p>
  </w:footnote>
  <w:footnote w:type="continuationSeparator" w:id="0">
    <w:p w:rsidR="00BF347C" w:rsidRDefault="00BF347C" w:rsidP="0009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71F0"/>
    <w:multiLevelType w:val="hybridMultilevel"/>
    <w:tmpl w:val="6ABA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4AA8"/>
    <w:multiLevelType w:val="hybridMultilevel"/>
    <w:tmpl w:val="7FCE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B0D2A"/>
    <w:multiLevelType w:val="hybridMultilevel"/>
    <w:tmpl w:val="27C6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0C7C"/>
    <w:rsid w:val="000769DB"/>
    <w:rsid w:val="000858DD"/>
    <w:rsid w:val="00097776"/>
    <w:rsid w:val="000B0A54"/>
    <w:rsid w:val="000E280B"/>
    <w:rsid w:val="001C177C"/>
    <w:rsid w:val="002242BA"/>
    <w:rsid w:val="003008D7"/>
    <w:rsid w:val="003C12A2"/>
    <w:rsid w:val="00425D72"/>
    <w:rsid w:val="004E5716"/>
    <w:rsid w:val="005035E1"/>
    <w:rsid w:val="00540F90"/>
    <w:rsid w:val="00577B87"/>
    <w:rsid w:val="00585720"/>
    <w:rsid w:val="005F5065"/>
    <w:rsid w:val="00606B6F"/>
    <w:rsid w:val="006B5C03"/>
    <w:rsid w:val="007745CE"/>
    <w:rsid w:val="00862B99"/>
    <w:rsid w:val="00866615"/>
    <w:rsid w:val="008824CF"/>
    <w:rsid w:val="009831CF"/>
    <w:rsid w:val="00A21E79"/>
    <w:rsid w:val="00AF3C21"/>
    <w:rsid w:val="00BF347C"/>
    <w:rsid w:val="00C56641"/>
    <w:rsid w:val="00C67B4C"/>
    <w:rsid w:val="00CF0B47"/>
    <w:rsid w:val="00D50EB7"/>
    <w:rsid w:val="00F62C45"/>
    <w:rsid w:val="00FB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776"/>
  </w:style>
  <w:style w:type="paragraph" w:styleId="aa">
    <w:name w:val="footer"/>
    <w:basedOn w:val="a"/>
    <w:link w:val="ab"/>
    <w:uiPriority w:val="99"/>
    <w:unhideWhenUsed/>
    <w:rsid w:val="0009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776"/>
  </w:style>
  <w:style w:type="paragraph" w:styleId="ac">
    <w:name w:val="Normal (Web)"/>
    <w:basedOn w:val="a"/>
    <w:uiPriority w:val="99"/>
    <w:unhideWhenUsed/>
    <w:rsid w:val="000977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dizelnye-generatory/dizel-generator-100-kvt-v-konteinere/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100-kvt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services/ustanovka-shefmontazhnye-i-puskonaladochnye-raboty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services/proektirovanie-i-razrabotka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F1B7F-7729-449B-88FA-E5978DC7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проектные, монтажные и пусконаладочные работы ДГУ 100 кВт</vt:lpstr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проектные, монтажные и пусконаладочные работы ДГУ 100 кВт</dc:title>
  <dc:subject>Техническое задание на проектирование, монтаж и ПНР</dc:subject>
  <dc:creator>ООО "ТД Электроагрегат"</dc:creator>
  <cp:keywords/>
  <dc:description/>
  <cp:lastModifiedBy>Skynet</cp:lastModifiedBy>
  <cp:revision>10</cp:revision>
  <dcterms:created xsi:type="dcterms:W3CDTF">2014-09-16T10:34:00Z</dcterms:created>
  <dcterms:modified xsi:type="dcterms:W3CDTF">2022-11-15T14:12:00Z</dcterms:modified>
</cp:coreProperties>
</file>